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rPr>
          <w:color w:val="0F172A"/>
        </w:rPr>
        <w:t>BuddyBoard BAA and Security Packet Request Workflow</w:t>
      </w:r>
    </w:p>
    <w:p>
      <w:pPr>
        <w:spacing w:after="280"/>
      </w:pPr>
      <w:r>
        <w:rPr>
          <w:i/>
          <w:color w:val="475569"/>
          <w:sz w:val="22"/>
        </w:rPr>
        <w:t>Use this document when a prospect requests formal compliance or due-diligence materials.</w:t>
      </w:r>
    </w:p>
    <w:tbl>
      <w:tblPr>
        <w:tblW w:type="auto" w:w="0"/>
        <w:jc w:val="center"/>
        <w:tblLook w:firstColumn="1" w:firstRow="1" w:lastColumn="0" w:lastRow="0" w:noHBand="0" w:noVBand="1" w:val="04A0"/>
      </w:tblPr>
      <w:tblGrid>
        <w:gridCol w:w="9936"/>
      </w:tblGrid>
      <w:tr>
        <w:tc>
          <w:tcPr>
            <w:tcW w:type="dxa" w:w="9648"/>
            <w:shd w:fill="111827"/>
            <w:tcBorders>
              <w:top w:val="single" w:sz="4" w:color="111827"/>
              <w:left w:val="single" w:sz="4" w:color="111827"/>
              <w:bottom w:val="single" w:sz="4" w:color="111827"/>
              <w:right w:val="single" w:sz="4" w:color="111827"/>
            </w:tcBorders>
          </w:tcPr>
          <w:p>
            <w:r/>
          </w:p>
        </w:tc>
      </w:tr>
    </w:tbl>
    <w:p/>
    <w:p>
      <w:pPr>
        <w:pStyle w:val="Heading1"/>
      </w:pPr>
      <w:r>
        <w:t>Purpose</w:t>
      </w:r>
    </w:p>
    <w:p>
      <w:r>
        <w:t>This workflow helps the BuddyBoard team respond consistently when a prospect requests a Business Associate Agreement, security packet, privacy materials, or deployment documentation.</w:t>
      </w:r>
    </w:p>
    <w:p>
      <w:pPr>
        <w:pStyle w:val="Heading1"/>
      </w:pPr>
      <w:r>
        <w:t>Recommended intake fields</w:t>
      </w:r>
    </w:p>
    <w:tbl>
      <w:tblPr>
        <w:tblStyle w:val="TableGrid"/>
        <w:tblW w:type="auto" w:w="0"/>
        <w:jc w:val="center"/>
        <w:tblLayout w:type="fixed"/>
        <w:tblLook w:firstColumn="1" w:firstRow="1" w:lastColumn="0" w:lastRow="0" w:noHBand="0" w:noVBand="1" w:val="04A0"/>
      </w:tblPr>
      <w:tblGrid>
        <w:gridCol w:w="4968"/>
        <w:gridCol w:w="4968"/>
      </w:tblGrid>
      <w:tr>
        <w:tc>
          <w:tcPr>
            <w:tcW w:type="dxa" w:w="2160"/>
            <w:shd w:fill="1F2937"/>
            <w:tcBorders>
              <w:top w:val="single" w:sz="8" w:color="CBD5E1"/>
              <w:left w:val="single" w:sz="8" w:color="CBD5E1"/>
              <w:bottom w:val="single" w:sz="8" w:color="CBD5E1"/>
              <w:right w:val="single" w:sz="8" w:color="CBD5E1"/>
            </w:tcBorders>
            <w:vAlign w:val="center"/>
          </w:tcPr>
          <w:p>
            <w:r>
              <w:rPr>
                <w:b/>
                <w:color w:val="FFFFFF"/>
                <w:sz w:val="19"/>
              </w:rPr>
              <w:t>Field</w:t>
            </w:r>
          </w:p>
        </w:tc>
        <w:tc>
          <w:tcPr>
            <w:tcW w:type="dxa" w:w="7200"/>
            <w:shd w:fill="1F2937"/>
            <w:tcBorders>
              <w:top w:val="single" w:sz="8" w:color="CBD5E1"/>
              <w:left w:val="single" w:sz="8" w:color="CBD5E1"/>
              <w:bottom w:val="single" w:sz="8" w:color="CBD5E1"/>
              <w:right w:val="single" w:sz="8" w:color="CBD5E1"/>
            </w:tcBorders>
            <w:vAlign w:val="center"/>
          </w:tcPr>
          <w:p>
            <w:r>
              <w:rPr>
                <w:b/>
                <w:color w:val="FFFFFF"/>
                <w:sz w:val="19"/>
              </w:rPr>
              <w:t>Requested information</w:t>
            </w:r>
          </w:p>
        </w:tc>
      </w:tr>
      <w:tr>
        <w:tc>
          <w:tcPr>
            <w:tcW w:type="dxa" w:w="2160"/>
            <w:tcBorders>
              <w:top w:val="single" w:sz="8" w:color="CBD5E1"/>
              <w:left w:val="single" w:sz="8" w:color="CBD5E1"/>
              <w:bottom w:val="single" w:sz="8" w:color="CBD5E1"/>
              <w:right w:val="single" w:sz="8" w:color="CBD5E1"/>
            </w:tcBorders>
            <w:vAlign w:val="center"/>
          </w:tcPr>
          <w:p>
            <w:r>
              <w:rPr>
                <w:color w:val="0F172A"/>
                <w:sz w:val="19"/>
              </w:rPr>
              <w:t>Organization</w:t>
            </w:r>
          </w:p>
        </w:tc>
        <w:tc>
          <w:tcPr>
            <w:tcW w:type="dxa" w:w="7200"/>
            <w:tcBorders>
              <w:top w:val="single" w:sz="8" w:color="CBD5E1"/>
              <w:left w:val="single" w:sz="8" w:color="CBD5E1"/>
              <w:bottom w:val="single" w:sz="8" w:color="CBD5E1"/>
              <w:right w:val="single" w:sz="8" w:color="CBD5E1"/>
            </w:tcBorders>
            <w:vAlign w:val="center"/>
          </w:tcPr>
          <w:p>
            <w:r>
              <w:rPr>
                <w:color w:val="0F172A"/>
                <w:sz w:val="19"/>
              </w:rPr>
              <w:t>Legal organization name and primary contact</w:t>
            </w:r>
          </w:p>
        </w:tc>
      </w:tr>
      <w:tr>
        <w:tc>
          <w:tcPr>
            <w:tcW w:type="dxa" w:w="2160"/>
            <w:tcBorders>
              <w:top w:val="single" w:sz="8" w:color="CBD5E1"/>
              <w:left w:val="single" w:sz="8" w:color="CBD5E1"/>
              <w:bottom w:val="single" w:sz="8" w:color="CBD5E1"/>
              <w:right w:val="single" w:sz="8" w:color="CBD5E1"/>
            </w:tcBorders>
            <w:vAlign w:val="center"/>
          </w:tcPr>
          <w:p>
            <w:r>
              <w:rPr>
                <w:color w:val="0F172A"/>
                <w:sz w:val="19"/>
              </w:rPr>
              <w:t>Use case</w:t>
            </w:r>
          </w:p>
        </w:tc>
        <w:tc>
          <w:tcPr>
            <w:tcW w:type="dxa" w:w="7200"/>
            <w:tcBorders>
              <w:top w:val="single" w:sz="8" w:color="CBD5E1"/>
              <w:left w:val="single" w:sz="8" w:color="CBD5E1"/>
              <w:bottom w:val="single" w:sz="8" w:color="CBD5E1"/>
              <w:right w:val="single" w:sz="8" w:color="CBD5E1"/>
            </w:tcBorders>
            <w:vAlign w:val="center"/>
          </w:tcPr>
          <w:p>
            <w:r>
              <w:rPr>
                <w:color w:val="0F172A"/>
                <w:sz w:val="19"/>
              </w:rPr>
              <w:t>ABA program, school, therapy services, or other model</w:t>
            </w:r>
          </w:p>
        </w:tc>
      </w:tr>
      <w:tr>
        <w:tc>
          <w:tcPr>
            <w:tcW w:type="dxa" w:w="2160"/>
            <w:tcBorders>
              <w:top w:val="single" w:sz="8" w:color="CBD5E1"/>
              <w:left w:val="single" w:sz="8" w:color="CBD5E1"/>
              <w:bottom w:val="single" w:sz="8" w:color="CBD5E1"/>
              <w:right w:val="single" w:sz="8" w:color="CBD5E1"/>
            </w:tcBorders>
            <w:vAlign w:val="center"/>
          </w:tcPr>
          <w:p>
            <w:r>
              <w:rPr>
                <w:color w:val="0F172A"/>
                <w:sz w:val="19"/>
              </w:rPr>
              <w:t>User volume</w:t>
            </w:r>
          </w:p>
        </w:tc>
        <w:tc>
          <w:tcPr>
            <w:tcW w:type="dxa" w:w="7200"/>
            <w:tcBorders>
              <w:top w:val="single" w:sz="8" w:color="CBD5E1"/>
              <w:left w:val="single" w:sz="8" w:color="CBD5E1"/>
              <w:bottom w:val="single" w:sz="8" w:color="CBD5E1"/>
              <w:right w:val="single" w:sz="8" w:color="CBD5E1"/>
            </w:tcBorders>
            <w:vAlign w:val="center"/>
          </w:tcPr>
          <w:p>
            <w:r>
              <w:rPr>
                <w:color w:val="0F172A"/>
                <w:sz w:val="19"/>
              </w:rPr>
              <w:t>Estimated staff, parent, student, and administrator counts</w:t>
            </w:r>
          </w:p>
        </w:tc>
      </w:tr>
      <w:tr>
        <w:tc>
          <w:tcPr>
            <w:tcW w:type="dxa" w:w="2160"/>
            <w:tcBorders>
              <w:top w:val="single" w:sz="8" w:color="CBD5E1"/>
              <w:left w:val="single" w:sz="8" w:color="CBD5E1"/>
              <w:bottom w:val="single" w:sz="8" w:color="CBD5E1"/>
              <w:right w:val="single" w:sz="8" w:color="CBD5E1"/>
            </w:tcBorders>
            <w:vAlign w:val="center"/>
          </w:tcPr>
          <w:p>
            <w:r>
              <w:rPr>
                <w:color w:val="0F172A"/>
                <w:sz w:val="19"/>
              </w:rPr>
              <w:t>Data sensitivity</w:t>
            </w:r>
          </w:p>
        </w:tc>
        <w:tc>
          <w:tcPr>
            <w:tcW w:type="dxa" w:w="7200"/>
            <w:tcBorders>
              <w:top w:val="single" w:sz="8" w:color="CBD5E1"/>
              <w:left w:val="single" w:sz="8" w:color="CBD5E1"/>
              <w:bottom w:val="single" w:sz="8" w:color="CBD5E1"/>
              <w:right w:val="single" w:sz="8" w:color="CBD5E1"/>
            </w:tcBorders>
            <w:vAlign w:val="center"/>
          </w:tcPr>
          <w:p>
            <w:r>
              <w:rPr>
                <w:color w:val="0F172A"/>
                <w:sz w:val="19"/>
              </w:rPr>
              <w:t>Whether protected health information or student-related data will be involved</w:t>
            </w:r>
          </w:p>
        </w:tc>
      </w:tr>
      <w:tr>
        <w:tc>
          <w:tcPr>
            <w:tcW w:type="dxa" w:w="2160"/>
            <w:tcBorders>
              <w:top w:val="single" w:sz="8" w:color="CBD5E1"/>
              <w:left w:val="single" w:sz="8" w:color="CBD5E1"/>
              <w:bottom w:val="single" w:sz="8" w:color="CBD5E1"/>
              <w:right w:val="single" w:sz="8" w:color="CBD5E1"/>
            </w:tcBorders>
            <w:vAlign w:val="center"/>
          </w:tcPr>
          <w:p>
            <w:r>
              <w:rPr>
                <w:color w:val="0F172A"/>
                <w:sz w:val="19"/>
              </w:rPr>
              <w:t>Documents requested</w:t>
            </w:r>
          </w:p>
        </w:tc>
        <w:tc>
          <w:tcPr>
            <w:tcW w:type="dxa" w:w="7200"/>
            <w:tcBorders>
              <w:top w:val="single" w:sz="8" w:color="CBD5E1"/>
              <w:left w:val="single" w:sz="8" w:color="CBD5E1"/>
              <w:bottom w:val="single" w:sz="8" w:color="CBD5E1"/>
              <w:right w:val="single" w:sz="8" w:color="CBD5E1"/>
            </w:tcBorders>
            <w:vAlign w:val="center"/>
          </w:tcPr>
          <w:p>
            <w:r>
              <w:rPr>
                <w:color w:val="0F172A"/>
                <w:sz w:val="19"/>
              </w:rPr>
              <w:t>BAA, security overview, architecture summary, policy documents, subprocessor list</w:t>
            </w:r>
          </w:p>
        </w:tc>
      </w:tr>
      <w:tr>
        <w:tc>
          <w:tcPr>
            <w:tcW w:type="dxa" w:w="2160"/>
            <w:tcBorders>
              <w:top w:val="single" w:sz="8" w:color="CBD5E1"/>
              <w:left w:val="single" w:sz="8" w:color="CBD5E1"/>
              <w:bottom w:val="single" w:sz="8" w:color="CBD5E1"/>
              <w:right w:val="single" w:sz="8" w:color="CBD5E1"/>
            </w:tcBorders>
            <w:vAlign w:val="center"/>
          </w:tcPr>
          <w:p>
            <w:r>
              <w:rPr>
                <w:color w:val="0F172A"/>
                <w:sz w:val="19"/>
              </w:rPr>
              <w:t>Decision timeline</w:t>
            </w:r>
          </w:p>
        </w:tc>
        <w:tc>
          <w:tcPr>
            <w:tcW w:type="dxa" w:w="7200"/>
            <w:tcBorders>
              <w:top w:val="single" w:sz="8" w:color="CBD5E1"/>
              <w:left w:val="single" w:sz="8" w:color="CBD5E1"/>
              <w:bottom w:val="single" w:sz="8" w:color="CBD5E1"/>
              <w:right w:val="single" w:sz="8" w:color="CBD5E1"/>
            </w:tcBorders>
            <w:vAlign w:val="center"/>
          </w:tcPr>
          <w:p>
            <w:r>
              <w:rPr>
                <w:color w:val="0F172A"/>
                <w:sz w:val="19"/>
              </w:rPr>
              <w:t>Target review and implementation timeline</w:t>
            </w:r>
          </w:p>
        </w:tc>
      </w:tr>
    </w:tbl>
    <w:p/>
    <w:p>
      <w:pPr>
        <w:pStyle w:val="Heading1"/>
      </w:pPr>
      <w:r>
        <w:t>Recommended response flow</w:t>
      </w:r>
    </w:p>
    <w:p>
      <w:pPr>
        <w:pStyle w:val="ListBullet"/>
        <w:spacing w:after="60"/>
      </w:pPr>
      <w:r>
        <w:t>Acknowledge the request and confirm the organization type, use case, and timeline.</w:t>
      </w:r>
    </w:p>
    <w:p>
      <w:pPr>
        <w:pStyle w:val="ListBullet"/>
        <w:spacing w:after="60"/>
      </w:pPr>
      <w:r>
        <w:t>Provide the standard product overview, security overview, implementation guide, and support materials.</w:t>
      </w:r>
    </w:p>
    <w:p>
      <w:pPr>
        <w:pStyle w:val="ListBullet"/>
        <w:spacing w:after="60"/>
      </w:pPr>
      <w:r>
        <w:t>Escalate any BAA, legal, or HIPAA-specific requests to the designated legal or compliance owner.</w:t>
      </w:r>
    </w:p>
    <w:p>
      <w:pPr>
        <w:pStyle w:val="ListBullet"/>
        <w:spacing w:after="60"/>
      </w:pPr>
      <w:r>
        <w:t>Confirm the deployment model and whether additional customer-specific technical documentation is required.</w:t>
      </w:r>
    </w:p>
    <w:p>
      <w:pPr>
        <w:pStyle w:val="ListBullet"/>
        <w:spacing w:after="60"/>
      </w:pPr>
      <w:r>
        <w:t>Track the status of the request until the review packet has been delivered and answered.</w:t>
      </w:r>
    </w:p>
    <w:p>
      <w:pPr>
        <w:pStyle w:val="Heading1"/>
      </w:pPr>
      <w:r>
        <w:t>Response language starter</w:t>
      </w:r>
    </w:p>
    <w:p>
      <w:r>
        <w:t>Thank you for your interest in BuddyBoard. We can share our standard review packet, which includes product, security, support, and implementation materials. Any compliance, privacy, or BAA-related requests are reviewed based on the intended deployment and use case. Please send your organization details, estimated user count, and any required documents so we can route your request appropriately.</w:t>
      </w:r>
    </w:p>
    <w:sectPr w:rsidR="00FC693F" w:rsidRPr="0006063C" w:rsidSect="00034616">
      <w:headerReference w:type="default" r:id="rId9"/>
      <w:footerReference w:type="default" r:id="rId10"/>
      <w:pgSz w:w="12240" w:h="15840"/>
      <w:pgMar w:top="936" w:right="1152" w:bottom="93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475569"/>
        <w:sz w:val="17"/>
      </w:rPr>
      <w:t xml:space="preserve">Client Review Packet  |  </w:t>
    </w:r>
    <w: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color w:val="1F2937"/>
        <w:sz w:val="18"/>
      </w:rPr>
      <w:t>BuddyBoard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w:hAnsi="Aptos"/>
      <w:b/>
      <w:bCs/>
      <w:color w:val="0F172A"/>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1F2937"/>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b/>
      <w:bCs/>
      <w:color w:val="1F293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w:hAnsi="Aptos"/>
      <w:b/>
      <w:color w:val="0F172A"/>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